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7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7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21792"/>
                <wp:effectExtent l="0" t="0" r="0" b="0"/>
                <wp:docPr id="1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21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96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7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7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7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7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7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7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7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 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7"/>
        <w:pBdr/>
        <w:spacing/>
        <w:ind/>
        <w:rPr>
          <w:color w:val="ff0000"/>
          <w:spacing w:val="-9"/>
          <w:sz w:val="28"/>
          <w:szCs w:val="28"/>
          <w:lang w:val="uk-UA"/>
        </w:rPr>
      </w:pPr>
      <w:r>
        <w:rPr>
          <w:color w:val="ff0000"/>
          <w:spacing w:val="-9"/>
          <w:sz w:val="28"/>
          <w:szCs w:val="28"/>
          <w:lang w:val="uk-UA"/>
        </w:rPr>
      </w:r>
      <w:r>
        <w:rPr>
          <w:color w:val="ff0000"/>
          <w:spacing w:val="-9"/>
          <w:sz w:val="28"/>
          <w:szCs w:val="28"/>
          <w:lang w:val="uk-UA"/>
        </w:rPr>
      </w:r>
      <w:r>
        <w:rPr>
          <w:color w:val="ff0000"/>
          <w:spacing w:val="-9"/>
          <w:sz w:val="28"/>
          <w:szCs w:val="28"/>
          <w:lang w:val="uk-UA"/>
        </w:rPr>
      </w:r>
    </w:p>
    <w:p>
      <w:pPr>
        <w:pStyle w:val="897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</w:t>
      </w:r>
      <w:r>
        <w:rPr>
          <w:sz w:val="28"/>
          <w:szCs w:val="28"/>
          <w:lang w:val="uk-UA"/>
        </w:rPr>
        <w:t xml:space="preserve">комісії з питань захисту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 дитини виконавчого комітету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Берестинської міської ради у 2025 році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/>
        <w:jc w:val="both"/>
        <w:rPr>
          <w:sz w:val="28"/>
          <w:szCs w:val="28"/>
          <w:lang w:val="uk-UA" w:eastAsia="en-US"/>
        </w:rPr>
      </w:pPr>
      <w:r>
        <w:t xml:space="preserve">            </w:t>
      </w:r>
      <w:r>
        <w:rPr>
          <w:sz w:val="28"/>
          <w:szCs w:val="28"/>
          <w:lang w:val="uk-UA"/>
        </w:rPr>
        <w:t xml:space="preserve">Керуючись Сімейним кодексом України, підпунктом 4 п</w:t>
      </w:r>
      <w:r>
        <w:rPr>
          <w:sz w:val="28"/>
          <w:szCs w:val="28"/>
          <w:lang w:val="uk-UA"/>
        </w:rPr>
        <w:t xml:space="preserve">ункту «б» частини першої статті 34, статтею 38 Законом України «Про місцеве самоврядування в Україні», Законами України «Про охорону дитинства», «Про органи і служби у справах дітей та спеціальні установи для дітей», «Про забезпечення  організаційно-правов</w:t>
      </w:r>
      <w:r>
        <w:rPr>
          <w:sz w:val="28"/>
          <w:szCs w:val="28"/>
          <w:lang w:val="uk-UA"/>
        </w:rPr>
        <w:t xml:space="preserve">их умов соціального захисту дітей-сиріт та дітей, позбавлених батьківського піклування», Постановою Кабінету Міністрів України від 24.09.2008 № 866 «Питання діяльності органів опіки та піклування, пов’язаної із захистом прав дитини», заслухавши інформацію </w:t>
      </w:r>
      <w:r>
        <w:rPr>
          <w:sz w:val="28"/>
          <w:szCs w:val="28"/>
          <w:lang w:val="uk-UA" w:eastAsia="en-US"/>
        </w:rPr>
        <w:t xml:space="preserve">служби у с</w:t>
      </w:r>
      <w:r>
        <w:rPr>
          <w:sz w:val="28"/>
          <w:szCs w:val="28"/>
          <w:lang w:val="uk-UA" w:eastAsia="en-US"/>
        </w:rPr>
        <w:t xml:space="preserve">правах дітей Берестин</w:t>
      </w:r>
      <w:r>
        <w:rPr>
          <w:sz w:val="28"/>
          <w:szCs w:val="28"/>
          <w:lang w:val="uk-UA" w:eastAsia="en-US"/>
        </w:rPr>
        <w:t xml:space="preserve">ської міської ради</w:t>
      </w:r>
      <w:r>
        <w:rPr>
          <w:sz w:val="28"/>
          <w:szCs w:val="28"/>
          <w:lang w:val="uk-UA"/>
        </w:rPr>
        <w:t xml:space="preserve">, з метою соціального захисту прав дітей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 w:eastAsia="en-US"/>
        </w:rPr>
        <w:t xml:space="preserve"> виконавчий комітет Берестин</w:t>
      </w:r>
      <w:r>
        <w:rPr>
          <w:sz w:val="28"/>
          <w:szCs w:val="28"/>
          <w:lang w:val="uk-UA" w:eastAsia="en-US"/>
        </w:rPr>
        <w:t xml:space="preserve">ської міської ради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7"/>
        <w:pBdr/>
        <w:spacing/>
        <w:ind/>
        <w:jc w:val="both"/>
        <w:rPr>
          <w:u w:val="single"/>
          <w:lang w:val="uk-UA"/>
        </w:rPr>
      </w:pPr>
      <w:r>
        <w:rPr>
          <w:u w:val="single"/>
          <w:lang w:val="uk-UA"/>
        </w:rPr>
      </w:r>
      <w:r>
        <w:rPr>
          <w:u w:val="single"/>
          <w:lang w:val="uk-UA"/>
        </w:rPr>
      </w:r>
      <w:r>
        <w:rPr>
          <w:u w:val="single"/>
          <w:lang w:val="uk-UA"/>
        </w:rPr>
      </w:r>
    </w:p>
    <w:p>
      <w:pPr>
        <w:pStyle w:val="908"/>
        <w:pBdr/>
        <w:spacing/>
        <w:ind w:firstLine="720"/>
        <w:jc w:val="center"/>
        <w:rPr>
          <w:szCs w:val="28"/>
        </w:rPr>
      </w:pP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 </w:t>
      </w:r>
      <w:r>
        <w:rPr>
          <w:szCs w:val="28"/>
        </w:rPr>
        <w:t xml:space="preserve">І</w:t>
      </w:r>
      <w:r>
        <w:rPr>
          <w:szCs w:val="28"/>
        </w:rPr>
        <w:t xml:space="preserve"> </w:t>
      </w:r>
      <w:r>
        <w:rPr>
          <w:szCs w:val="28"/>
        </w:rPr>
        <w:t xml:space="preserve">Ш</w:t>
      </w:r>
      <w:r>
        <w:rPr>
          <w:szCs w:val="28"/>
        </w:rPr>
        <w:t xml:space="preserve"> 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В:</w:t>
      </w:r>
      <w:r>
        <w:rPr>
          <w:szCs w:val="28"/>
        </w:rPr>
      </w:r>
      <w:r>
        <w:rPr>
          <w:szCs w:val="28"/>
        </w:rPr>
      </w:r>
    </w:p>
    <w:p>
      <w:pPr>
        <w:pStyle w:val="908"/>
        <w:pBdr/>
        <w:spacing/>
        <w:ind w:firstLine="720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12"/>
        <w:pBdr/>
        <w:spacing w:after="0" w:afterAutospacing="0" w:before="0" w:beforeAutospacing="0"/>
        <w:ind w:firstLine="238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 w:eastAsia="en-US"/>
        </w:rPr>
        <w:t xml:space="preserve">     1. </w:t>
      </w:r>
      <w:r>
        <w:rPr>
          <w:sz w:val="28"/>
          <w:szCs w:val="28"/>
        </w:rPr>
        <w:t xml:space="preserve">Інформацію про роботу </w:t>
      </w:r>
      <w:r>
        <w:rPr>
          <w:sz w:val="28"/>
          <w:szCs w:val="28"/>
          <w:lang w:val="uk-UA"/>
        </w:rPr>
        <w:t xml:space="preserve">комісії з питань захисту прав дитини виконавчого комітету Берестинської міської ради у 2025 році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взяти до відома 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tabs>
          <w:tab w:val="left" w:leader="none" w:pos="567"/>
          <w:tab w:val="left" w:leader="none" w:pos="709"/>
          <w:tab w:val="left" w:leader="none" w:pos="1418"/>
        </w:tabs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2. Комісії з питань захисту прав дитини при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продовжувати роботу щодо соціального захисту дітей.    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</w:t>
      </w:r>
      <w:r>
        <w:rPr>
          <w:sz w:val="28"/>
          <w:szCs w:val="20"/>
          <w:lang w:val="uk-UA"/>
        </w:rPr>
        <w:t xml:space="preserve"> даного рішення 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2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912"/>
        <w:pBdr/>
        <w:spacing w:after="0" w:afterAutospacing="0" w:before="0" w:beforeAutospacing="0"/>
        <w:ind w:firstLine="708"/>
        <w:jc w:val="both"/>
        <w:rPr/>
      </w:pPr>
      <w:r/>
      <w:r/>
    </w:p>
    <w:p>
      <w:pPr>
        <w:pStyle w:val="897"/>
        <w:pBdr/>
        <w:spacing/>
        <w:ind w:firstLine="5041"/>
        <w:rPr>
          <w:sz w:val="24"/>
          <w:szCs w:val="24"/>
        </w:rPr>
      </w:pP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  <w:pBdr/>
        <w:spacing/>
        <w:ind w:firstLine="5041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  <w:pBdr/>
        <w:spacing/>
        <w:ind w:firstLine="5041"/>
        <w:rPr>
          <w:sz w:val="24"/>
          <w:szCs w:val="24"/>
        </w:rPr>
      </w:pPr>
      <w:r>
        <w:rPr>
          <w:sz w:val="24"/>
          <w:szCs w:val="24"/>
        </w:rPr>
        <w:t xml:space="preserve">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</w:rPr>
        <w:t xml:space="preserve">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  <w:pBdr/>
        <w:spacing/>
        <w:ind w:firstLine="5041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 </w:t>
      </w:r>
      <w:r>
        <w:rPr>
          <w:sz w:val="24"/>
          <w:szCs w:val="24"/>
          <w:lang w:val="uk-UA"/>
        </w:rPr>
        <w:t xml:space="preserve">15 січня </w:t>
      </w:r>
      <w:r>
        <w:rPr>
          <w:sz w:val="24"/>
          <w:szCs w:val="24"/>
        </w:rPr>
        <w:t xml:space="preserve">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</w:t>
      </w:r>
      <w:r>
        <w:rPr>
          <w:sz w:val="24"/>
          <w:szCs w:val="24"/>
        </w:rPr>
        <w:t xml:space="preserve">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15</w:t>
      </w:r>
      <w:r>
        <w:rPr>
          <w:sz w:val="24"/>
          <w:szCs w:val="24"/>
          <w:lang w:val="uk-UA"/>
        </w:rPr>
      </w:r>
    </w:p>
    <w:p>
      <w:pPr>
        <w:pStyle w:val="897"/>
        <w:pBdr/>
        <w:spacing/>
        <w:ind w:firstLine="5400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7"/>
        <w:pBdr/>
        <w:spacing/>
        <w:ind w:right="1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Інформація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7"/>
        <w:pBdr/>
        <w:spacing/>
        <w:ind w:right="1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роботу </w:t>
      </w:r>
      <w:r>
        <w:rPr>
          <w:b/>
          <w:sz w:val="28"/>
          <w:szCs w:val="28"/>
          <w:lang w:val="uk-UA"/>
        </w:rPr>
        <w:t xml:space="preserve">комісії з питань захисту прав дитини виконавчого комітету Берестинської міської ради у 2025 році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7"/>
        <w:pBdr/>
        <w:spacing/>
        <w:ind w:right="1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6973D3FD">
      <w:pPr>
        <w:pBdr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Комісія з питань захисту прав дитини (далі - комісія) є дорадчим органом, що утворюється виконавчим комітетом міської ради</w:t>
      </w:r>
      <w:bookmarkStart w:id="0" w:name="n742"/>
      <w:r/>
      <w:bookmarkStart w:id="1" w:name="n743"/>
      <w:r/>
      <w:bookmarkEnd w:id="0"/>
      <w:r/>
      <w:bookmarkEnd w:id="1"/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C572E32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Комісія у межах своєї компетенції приймає рішення, яке є підставою для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прийняття відповідного рішення органу опіки та піклування. Здійснює свою діяльність відповідно до чинного законодавства та у своїй роботі керується: </w:t>
      </w:r>
      <w:r>
        <w:rPr>
          <w:rFonts w:ascii="Times New Roman" w:hAnsi="Times New Roman"/>
          <w:color w:val="000000"/>
          <w:sz w:val="28"/>
          <w:szCs w:val="28"/>
        </w:rPr>
        <w:t xml:space="preserve">конвенцією</w:t>
      </w:r>
      <w:r>
        <w:rPr>
          <w:rFonts w:ascii="Times New Roman" w:hAnsi="Times New Roman"/>
          <w:color w:val="000000"/>
          <w:sz w:val="28"/>
          <w:szCs w:val="28"/>
        </w:rPr>
        <w:t xml:space="preserve"> ООН про права </w:t>
      </w:r>
      <w:r>
        <w:rPr>
          <w:rFonts w:ascii="Times New Roman" w:hAnsi="Times New Roman"/>
          <w:color w:val="000000"/>
          <w:sz w:val="28"/>
          <w:szCs w:val="28"/>
        </w:rPr>
        <w:t xml:space="preserve">дитини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конституцією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ц</w:t>
      </w:r>
      <w:r>
        <w:rPr>
          <w:rFonts w:ascii="Times New Roman" w:hAnsi="Times New Roman"/>
          <w:color w:val="000000"/>
          <w:sz w:val="28"/>
          <w:szCs w:val="28"/>
        </w:rPr>
        <w:t xml:space="preserve">ивільним</w:t>
      </w:r>
      <w:r>
        <w:rPr>
          <w:rFonts w:ascii="Times New Roman" w:hAnsi="Times New Roman"/>
          <w:color w:val="000000"/>
          <w:sz w:val="28"/>
          <w:szCs w:val="28"/>
        </w:rPr>
        <w:t xml:space="preserve"> кодексом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с</w:t>
      </w:r>
      <w:r>
        <w:rPr>
          <w:rFonts w:ascii="Times New Roman" w:hAnsi="Times New Roman"/>
          <w:color w:val="000000"/>
          <w:sz w:val="28"/>
          <w:szCs w:val="28"/>
        </w:rPr>
        <w:t xml:space="preserve">імейним</w:t>
      </w:r>
      <w:r>
        <w:rPr>
          <w:rFonts w:ascii="Times New Roman" w:hAnsi="Times New Roman"/>
          <w:color w:val="000000"/>
          <w:sz w:val="28"/>
          <w:szCs w:val="28"/>
        </w:rPr>
        <w:t xml:space="preserve"> кодексом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ж</w:t>
      </w:r>
      <w:r>
        <w:rPr>
          <w:rFonts w:ascii="Times New Roman" w:hAnsi="Times New Roman"/>
          <w:color w:val="000000"/>
          <w:sz w:val="28"/>
          <w:szCs w:val="28"/>
        </w:rPr>
        <w:t xml:space="preserve">итловим</w:t>
      </w:r>
      <w:r>
        <w:rPr>
          <w:rFonts w:ascii="Times New Roman" w:hAnsi="Times New Roman"/>
          <w:color w:val="000000"/>
          <w:sz w:val="28"/>
          <w:szCs w:val="28"/>
        </w:rPr>
        <w:t xml:space="preserve"> кодексом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з</w:t>
      </w:r>
      <w:r>
        <w:rPr>
          <w:rFonts w:ascii="Times New Roman" w:hAnsi="Times New Roman"/>
          <w:color w:val="000000"/>
          <w:sz w:val="28"/>
          <w:szCs w:val="28"/>
        </w:rPr>
        <w:t xml:space="preserve">аконом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«Про </w:t>
      </w:r>
      <w:r>
        <w:rPr>
          <w:rFonts w:ascii="Times New Roman" w:hAnsi="Times New Roman"/>
          <w:color w:val="000000"/>
          <w:sz w:val="28"/>
          <w:szCs w:val="28"/>
        </w:rPr>
        <w:t xml:space="preserve">місцеве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самоврядування</w:t>
      </w:r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Україні</w:t>
      </w:r>
      <w:r>
        <w:rPr>
          <w:rFonts w:ascii="Times New Roman" w:hAnsi="Times New Roman"/>
          <w:color w:val="000000"/>
          <w:sz w:val="28"/>
          <w:szCs w:val="28"/>
        </w:rPr>
        <w:t xml:space="preserve"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з</w:t>
      </w:r>
      <w:r>
        <w:rPr>
          <w:rFonts w:ascii="Times New Roman" w:hAnsi="Times New Roman"/>
          <w:color w:val="000000"/>
          <w:sz w:val="28"/>
          <w:szCs w:val="28"/>
        </w:rPr>
        <w:t xml:space="preserve">аконом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«Про </w:t>
      </w:r>
      <w:r>
        <w:rPr>
          <w:rFonts w:ascii="Times New Roman" w:hAnsi="Times New Roman"/>
          <w:color w:val="000000"/>
          <w:sz w:val="28"/>
          <w:szCs w:val="28"/>
        </w:rPr>
        <w:t xml:space="preserve">охорону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дитинства</w:t>
      </w:r>
      <w:r>
        <w:rPr>
          <w:rFonts w:ascii="Times New Roman" w:hAnsi="Times New Roman"/>
          <w:color w:val="000000"/>
          <w:sz w:val="28"/>
          <w:szCs w:val="28"/>
        </w:rPr>
        <w:t xml:space="preserve"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з</w:t>
      </w:r>
      <w:r>
        <w:rPr>
          <w:rFonts w:ascii="Times New Roman" w:hAnsi="Times New Roman"/>
          <w:color w:val="000000"/>
          <w:sz w:val="28"/>
          <w:szCs w:val="28"/>
        </w:rPr>
        <w:t xml:space="preserve">аконом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«Про </w:t>
      </w:r>
      <w:r>
        <w:rPr>
          <w:rFonts w:ascii="Times New Roman" w:hAnsi="Times New Roman"/>
          <w:color w:val="000000"/>
          <w:sz w:val="28"/>
          <w:szCs w:val="28"/>
        </w:rPr>
        <w:t xml:space="preserve">основи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соціального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захисту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бездомних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громадян</w:t>
      </w:r>
      <w:r>
        <w:rPr>
          <w:rFonts w:ascii="Times New Roman" w:hAnsi="Times New Roman"/>
          <w:color w:val="000000"/>
          <w:sz w:val="28"/>
          <w:szCs w:val="28"/>
        </w:rPr>
        <w:t xml:space="preserve"> та </w:t>
      </w:r>
      <w:r>
        <w:rPr>
          <w:rFonts w:ascii="Times New Roman" w:hAnsi="Times New Roman"/>
          <w:color w:val="000000"/>
          <w:sz w:val="28"/>
          <w:szCs w:val="28"/>
        </w:rPr>
        <w:t xml:space="preserve">безпритульних</w:t>
      </w:r>
      <w:r>
        <w:rPr>
          <w:rFonts w:ascii="Times New Roman" w:hAnsi="Times New Roman"/>
          <w:color w:val="000000"/>
          <w:sz w:val="28"/>
          <w:szCs w:val="28"/>
        </w:rPr>
        <w:t xml:space="preserve"> дітей»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з</w:t>
      </w:r>
      <w:r>
        <w:rPr>
          <w:rFonts w:ascii="Times New Roman" w:hAnsi="Times New Roman"/>
          <w:color w:val="000000"/>
          <w:sz w:val="28"/>
          <w:szCs w:val="28"/>
        </w:rPr>
        <w:t xml:space="preserve">аконом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«Про свободу </w:t>
      </w:r>
      <w:r>
        <w:rPr>
          <w:rFonts w:ascii="Times New Roman" w:hAnsi="Times New Roman"/>
          <w:color w:val="000000"/>
          <w:sz w:val="28"/>
          <w:szCs w:val="28"/>
        </w:rPr>
        <w:t xml:space="preserve">пересування</w:t>
      </w:r>
      <w:r>
        <w:rPr>
          <w:rFonts w:ascii="Times New Roman" w:hAnsi="Times New Roman"/>
          <w:color w:val="000000"/>
          <w:sz w:val="28"/>
          <w:szCs w:val="28"/>
        </w:rPr>
        <w:t xml:space="preserve"> та </w:t>
      </w:r>
      <w:r>
        <w:rPr>
          <w:rFonts w:ascii="Times New Roman" w:hAnsi="Times New Roman"/>
          <w:color w:val="000000"/>
          <w:sz w:val="28"/>
          <w:szCs w:val="28"/>
        </w:rPr>
        <w:t xml:space="preserve">вільний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вибір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місця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проживання</w:t>
      </w:r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Україні</w:t>
      </w:r>
      <w:r>
        <w:rPr>
          <w:rFonts w:ascii="Times New Roman" w:hAnsi="Times New Roman"/>
          <w:color w:val="000000"/>
          <w:sz w:val="28"/>
          <w:szCs w:val="28"/>
        </w:rPr>
        <w:t xml:space="preserve"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з</w:t>
      </w:r>
      <w:r>
        <w:rPr>
          <w:rFonts w:ascii="Times New Roman" w:hAnsi="Times New Roman"/>
          <w:color w:val="000000"/>
          <w:sz w:val="28"/>
          <w:szCs w:val="28"/>
        </w:rPr>
        <w:t xml:space="preserve">аконом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«Про </w:t>
      </w:r>
      <w:r>
        <w:rPr>
          <w:rFonts w:ascii="Times New Roman" w:hAnsi="Times New Roman"/>
          <w:color w:val="000000"/>
          <w:sz w:val="28"/>
          <w:szCs w:val="28"/>
        </w:rPr>
        <w:t xml:space="preserve">забезпечення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організаційно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 xml:space="preserve">правових</w:t>
      </w:r>
      <w:r>
        <w:rPr>
          <w:rFonts w:ascii="Times New Roman" w:hAnsi="Times New Roman"/>
          <w:color w:val="000000"/>
          <w:sz w:val="28"/>
          <w:szCs w:val="28"/>
        </w:rPr>
        <w:t xml:space="preserve"> умов </w:t>
      </w:r>
      <w:r>
        <w:rPr>
          <w:rFonts w:ascii="Times New Roman" w:hAnsi="Times New Roman"/>
          <w:color w:val="000000"/>
          <w:sz w:val="28"/>
          <w:szCs w:val="28"/>
        </w:rPr>
        <w:t xml:space="preserve">соціальног</w:t>
      </w:r>
      <w:r>
        <w:rPr>
          <w:rFonts w:ascii="Times New Roman" w:hAnsi="Times New Roman"/>
          <w:color w:val="000000"/>
          <w:sz w:val="28"/>
          <w:szCs w:val="28"/>
        </w:rPr>
        <w:t xml:space="preserve">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захисту</w:t>
      </w:r>
      <w:r>
        <w:rPr>
          <w:rFonts w:ascii="Times New Roman" w:hAnsi="Times New Roman"/>
          <w:color w:val="000000"/>
          <w:sz w:val="28"/>
          <w:szCs w:val="28"/>
        </w:rPr>
        <w:t xml:space="preserve">  дітей–</w:t>
      </w:r>
      <w:r>
        <w:rPr>
          <w:rFonts w:ascii="Times New Roman" w:hAnsi="Times New Roman"/>
          <w:color w:val="000000"/>
          <w:sz w:val="28"/>
          <w:szCs w:val="28"/>
        </w:rPr>
        <w:t xml:space="preserve">сиріт</w:t>
      </w:r>
      <w:r>
        <w:rPr>
          <w:rFonts w:ascii="Times New Roman" w:hAnsi="Times New Roman"/>
          <w:color w:val="000000"/>
          <w:sz w:val="28"/>
          <w:szCs w:val="28"/>
        </w:rPr>
        <w:t xml:space="preserve"> та дітей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позбавлених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батьківського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піклування</w:t>
      </w:r>
      <w:r>
        <w:rPr>
          <w:rFonts w:ascii="Times New Roman" w:hAnsi="Times New Roman"/>
          <w:color w:val="000000"/>
          <w:sz w:val="28"/>
          <w:szCs w:val="28"/>
        </w:rPr>
        <w:t xml:space="preserve"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актами Президента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та </w:t>
      </w:r>
      <w:r>
        <w:rPr>
          <w:rFonts w:ascii="Times New Roman" w:hAnsi="Times New Roman"/>
          <w:color w:val="000000"/>
          <w:sz w:val="28"/>
          <w:szCs w:val="28"/>
        </w:rPr>
        <w:t xml:space="preserve">Кабінету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Міністрів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іншими</w:t>
      </w:r>
      <w:r>
        <w:rPr>
          <w:rFonts w:ascii="Times New Roman" w:hAnsi="Times New Roman"/>
          <w:color w:val="000000"/>
          <w:sz w:val="28"/>
          <w:szCs w:val="28"/>
        </w:rPr>
        <w:t xml:space="preserve"> нормативно-</w:t>
      </w:r>
      <w:r>
        <w:rPr>
          <w:rFonts w:ascii="Times New Roman" w:hAnsi="Times New Roman"/>
          <w:color w:val="000000"/>
          <w:sz w:val="28"/>
          <w:szCs w:val="28"/>
        </w:rPr>
        <w:t xml:space="preserve">правовими</w:t>
      </w:r>
      <w:r>
        <w:rPr>
          <w:rFonts w:ascii="Times New Roman" w:hAnsi="Times New Roman"/>
          <w:color w:val="000000"/>
          <w:sz w:val="28"/>
          <w:szCs w:val="28"/>
        </w:rPr>
        <w:t xml:space="preserve"> актами.</w:t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</w:p>
    <w:p w14:paraId="61931F29">
      <w:pPr>
        <w:pBdr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Основним завданням комісії є сприяння забезпеченню реалізації прав дитини на життя, охорону здоров’я, освіту, соціальний захист, сімейне виховання та всебічний розвиток. </w:t>
      </w:r>
      <w:r>
        <w:rPr>
          <w:rFonts w:ascii="Times New Roman" w:hAnsi="Times New Roman"/>
          <w:sz w:val="28"/>
          <w:szCs w:val="28"/>
          <w:lang w:eastAsia="en-US"/>
        </w:rPr>
        <w:t xml:space="preserve">Основною </w:t>
      </w:r>
      <w:r>
        <w:rPr>
          <w:rFonts w:ascii="Times New Roman" w:hAnsi="Times New Roman"/>
          <w:sz w:val="28"/>
          <w:szCs w:val="28"/>
          <w:lang w:eastAsia="en-US"/>
        </w:rPr>
        <w:t xml:space="preserve">організаційною</w:t>
      </w:r>
      <w:r>
        <w:rPr>
          <w:rFonts w:ascii="Times New Roman" w:hAnsi="Times New Roman"/>
          <w:sz w:val="28"/>
          <w:szCs w:val="28"/>
          <w:lang w:eastAsia="en-US"/>
        </w:rPr>
        <w:t xml:space="preserve"> формою </w:t>
      </w:r>
      <w:r>
        <w:rPr>
          <w:rFonts w:ascii="Times New Roman" w:hAnsi="Times New Roman"/>
          <w:sz w:val="28"/>
          <w:szCs w:val="28"/>
          <w:lang w:eastAsia="en-US"/>
        </w:rPr>
        <w:t xml:space="preserve">діяльності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комісії</w:t>
      </w:r>
      <w:r>
        <w:rPr>
          <w:rFonts w:ascii="Times New Roman" w:hAnsi="Times New Roman"/>
          <w:sz w:val="28"/>
          <w:szCs w:val="28"/>
          <w:lang w:eastAsia="en-US"/>
        </w:rPr>
        <w:t xml:space="preserve"> є </w:t>
      </w:r>
      <w:r>
        <w:rPr>
          <w:rFonts w:ascii="Times New Roman" w:hAnsi="Times New Roman"/>
          <w:sz w:val="28"/>
          <w:szCs w:val="28"/>
          <w:lang w:eastAsia="en-US"/>
        </w:rPr>
        <w:t xml:space="preserve">засідання</w:t>
      </w:r>
      <w:r>
        <w:rPr>
          <w:rFonts w:ascii="Times New Roman" w:hAnsi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eastAsia="en-US"/>
        </w:rPr>
        <w:t xml:space="preserve">які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проводяться</w:t>
      </w:r>
      <w:r>
        <w:rPr>
          <w:rFonts w:ascii="Times New Roman" w:hAnsi="Times New Roman"/>
          <w:sz w:val="28"/>
          <w:szCs w:val="28"/>
          <w:lang w:eastAsia="en-US"/>
        </w:rPr>
        <w:t xml:space="preserve"> в </w:t>
      </w:r>
      <w:r>
        <w:rPr>
          <w:rFonts w:ascii="Times New Roman" w:hAnsi="Times New Roman"/>
          <w:sz w:val="28"/>
          <w:szCs w:val="28"/>
          <w:lang w:eastAsia="en-US"/>
        </w:rPr>
        <w:t xml:space="preserve">разі</w:t>
      </w:r>
      <w:r>
        <w:rPr>
          <w:rFonts w:ascii="Times New Roman" w:hAnsi="Times New Roman"/>
          <w:sz w:val="28"/>
          <w:szCs w:val="28"/>
          <w:lang w:eastAsia="en-US"/>
        </w:rPr>
        <w:t xml:space="preserve"> потреби, але не </w:t>
      </w:r>
      <w:r>
        <w:rPr>
          <w:rFonts w:ascii="Times New Roman" w:hAnsi="Times New Roman"/>
          <w:sz w:val="28"/>
          <w:szCs w:val="28"/>
          <w:lang w:eastAsia="en-US"/>
        </w:rPr>
        <w:t xml:space="preserve">р</w:t>
      </w:r>
      <w:r>
        <w:rPr>
          <w:rFonts w:ascii="Times New Roman" w:hAnsi="Times New Roman"/>
          <w:sz w:val="28"/>
          <w:szCs w:val="28"/>
          <w:lang w:eastAsia="en-US"/>
        </w:rPr>
        <w:t xml:space="preserve">ідше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ніж</w:t>
      </w:r>
      <w:r>
        <w:rPr>
          <w:rFonts w:ascii="Times New Roman" w:hAnsi="Times New Roman"/>
          <w:sz w:val="28"/>
          <w:szCs w:val="28"/>
          <w:lang w:eastAsia="en-US"/>
        </w:rPr>
        <w:t xml:space="preserve"> один раз на </w:t>
      </w:r>
      <w:r>
        <w:rPr>
          <w:rFonts w:ascii="Times New Roman" w:hAnsi="Times New Roman"/>
          <w:sz w:val="28"/>
          <w:szCs w:val="28"/>
          <w:lang w:eastAsia="en-US"/>
        </w:rPr>
        <w:t xml:space="preserve">місяць</w:t>
      </w:r>
      <w:r>
        <w:rPr>
          <w:rFonts w:ascii="Times New Roman" w:hAnsi="Times New Roman"/>
          <w:sz w:val="28"/>
          <w:szCs w:val="28"/>
          <w:lang w:eastAsia="en-US"/>
        </w:rPr>
        <w:t xml:space="preserve">.</w:t>
      </w:r>
      <w:bookmarkStart w:id="2" w:name="n778"/>
      <w:r/>
      <w:bookmarkEnd w:id="2"/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3B6D6D8D">
      <w:pPr>
        <w:pBdr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Протягом 2025 року проведено 23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засідань комісії з питань захис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ту прав дитини, розглянуто  207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питання, зокрема: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4A743521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дозволу або відмови на дарування, купівлю – продаж майна, де право власності або користування мають мало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літні або неповнолітні діти – 11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F42E2BC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дозволу на дарування, купівлю - продажу майна на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дітей – 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1525A68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доцільність або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недоцільность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позбавлення батьків батьківських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прав по відношенню до дітей – 10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44018B74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про визнач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ення місця проживання дитини – 4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C0BB832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визначення способу участі у вихованні, спілкуванні та встановлення порядку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 побачень батьків із дітьми - 2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                             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9705F42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затвердження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індивідуальних планів соціального захисту дитини – сироти та дитини, позбавленої батьківського піклування та дитини, яка опинилась в </w:t>
      </w:r>
      <w:r>
        <w:rPr>
          <w:rFonts w:ascii="Times New Roman" w:hAnsi="Times New Roman"/>
          <w:sz w:val="28"/>
          <w:szCs w:val="28"/>
          <w:lang w:val="uk-UA"/>
        </w:rPr>
        <w:t xml:space="preserve">складних життєвих обставинах –24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E944077">
      <w:pPr>
        <w:numPr>
          <w:ilvl w:val="0"/>
          <w:numId w:val="4"/>
        </w:numPr>
        <w:pBdr/>
        <w:spacing w:after="0" w:line="240" w:lineRule="auto"/>
        <w:ind w:right="0" w:firstLine="360" w:left="0"/>
        <w:contextualSpacing w:val="true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про надання дозволу на укладання договору про поділ спадкового майна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–1</w:t>
      </w:r>
      <w:r>
        <w:rPr>
          <w:rFonts w:ascii="Times New Roman" w:hAnsi="Times New Roman"/>
          <w:sz w:val="28"/>
          <w:szCs w:val="28"/>
          <w:lang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866E55F">
      <w:pPr>
        <w:numPr>
          <w:ilvl w:val="0"/>
          <w:numId w:val="4"/>
        </w:numPr>
        <w:pBdr/>
        <w:shd w:val="clear" w:color="auto" w:fill="ffffff"/>
        <w:spacing w:after="0" w:line="240" w:lineRule="auto"/>
        <w:ind w:right="0" w:firstLine="360" w:left="0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про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неналежне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виконання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батьківських обов’язків – 6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 w14:paraId="4B0DB31B">
      <w:pPr>
        <w:numPr>
          <w:ilvl w:val="0"/>
          <w:numId w:val="4"/>
        </w:numPr>
        <w:pBdr/>
        <w:shd w:val="clear" w:color="auto" w:fill="ffffff"/>
        <w:spacing w:after="0" w:line="240" w:lineRule="auto"/>
        <w:ind w:right="0" w:firstLine="360" w:left="0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про надання статусу дитини, яка постраждала внаслідок воєнних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дій та збройних конфліктів –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82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 w14:paraId="161A258A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надання дозволу на нотаріальне оформлення договор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у дарування земельних ділянок -2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605C147A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звіт роботи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за 2024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рік – 1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3EF70C91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план роботи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на 2025 рік – 1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6AD75068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призначення опікуном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/піклувальником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над дитиною – сиротою, дитиною позбавле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ною батьківського піклування – 5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083F41B8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 створення прийомної сім’ї – 2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2C31B99D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влаштування дитини до патронатн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ої родини – 6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3B9B793F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доцільність відібрання дітей від матері без позбавлення її батьківських прав – 1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1D61F015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 призначення опікуна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над майном дитини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сироти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дитини,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позбавленої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батьківського піклування 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27DE1802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 відрахування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 навчального закладу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3F0E9F0B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припинення дії договору про патронат та вибуття дитини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 сім’ї патронатного вихователя 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7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12B2A314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продовження терміну перебування дитини в сім’ю  патронатного вихователя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11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51EACDF8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надання дозволу батькам, які діють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від імені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дитини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на укладання договору оренди земельної ділянки та отримання орендної плати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03B5CC81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 затвердження звітів про стан виховання, утримання і розвитку дітей-сиріт та дітей, позбавлених батьківського піклування, за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2024 рік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250E5B8E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 створення прийомної сім’ї і влаштування на виховання та  спільне проживання дітей, позбавлених батьківського піклування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442E54F2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 погодження виїзду дитини за межі України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–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3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6176D500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/>
          <w:bCs/>
          <w:sz w:val="28"/>
          <w:szCs w:val="28"/>
        </w:rPr>
        <w:t xml:space="preserve">надання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або втрату </w:t>
      </w:r>
      <w:r>
        <w:rPr>
          <w:rFonts w:ascii="Times New Roman" w:hAnsi="Times New Roman"/>
          <w:bCs/>
          <w:sz w:val="28"/>
          <w:szCs w:val="28"/>
        </w:rPr>
        <w:t xml:space="preserve">статусу </w:t>
      </w:r>
      <w:r>
        <w:rPr>
          <w:rFonts w:ascii="Times New Roman" w:hAnsi="Times New Roman"/>
          <w:bCs/>
          <w:sz w:val="28"/>
          <w:szCs w:val="28"/>
        </w:rPr>
        <w:t xml:space="preserve">дитини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-сироти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дитини,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позбавленної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батьківського піклування –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 w14:paraId="63CA398D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 виведення дитини, позбавленої батьківського піклування,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  дитячого будинку сімейного типу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або прийомної сім’ї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3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 w14:paraId="11049027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 xml:space="preserve">п</w:t>
      </w:r>
      <w:r>
        <w:rPr>
          <w:rFonts w:ascii="Times New Roman" w:hAnsi="Times New Roman"/>
          <w:sz w:val="28"/>
          <w:szCs w:val="20"/>
          <w:lang w:val="uk-UA"/>
        </w:rPr>
        <w:t xml:space="preserve">ро поповнення дитячого будинку сімейного типу</w:t>
      </w:r>
      <w:r>
        <w:rPr>
          <w:rFonts w:ascii="Times New Roman" w:hAnsi="Times New Roman"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sz w:val="28"/>
          <w:szCs w:val="20"/>
          <w:lang w:val="uk-UA"/>
        </w:rPr>
        <w:t xml:space="preserve">–</w:t>
      </w:r>
      <w:r>
        <w:rPr>
          <w:rFonts w:ascii="Times New Roman" w:hAnsi="Times New Roman"/>
          <w:sz w:val="28"/>
          <w:szCs w:val="20"/>
          <w:lang w:val="uk-UA"/>
        </w:rPr>
        <w:t xml:space="preserve"> 2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 w14:paraId="2C71AFBD">
      <w:pPr>
        <w:numPr>
          <w:ilvl w:val="0"/>
          <w:numId w:val="4"/>
        </w:numPr>
        <w:pBdr/>
        <w:spacing w:after="0" w:line="240" w:lineRule="auto"/>
        <w:ind w:right="0" w:firstLine="360"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 повернення дітей до матері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 w14:paraId="7F01D484">
      <w:pPr>
        <w:numPr>
          <w:ilvl w:val="0"/>
          <w:numId w:val="4"/>
        </w:numPr>
        <w:pBdr/>
        <w:spacing w:after="0" w:line="240" w:lineRule="auto"/>
        <w:ind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</w:t>
      </w:r>
      <w:r>
        <w:rPr>
          <w:rFonts w:ascii="Times New Roman" w:hAnsi="Times New Roman"/>
          <w:sz w:val="28"/>
          <w:lang w:val="uk-UA"/>
        </w:rPr>
        <w:t xml:space="preserve">ро припинення функціонування патронатної родини</w:t>
      </w:r>
      <w:r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–</w:t>
      </w:r>
      <w:r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1</w:t>
      </w:r>
      <w:r>
        <w:rPr>
          <w:rFonts w:ascii="Times New Roman" w:hAnsi="Times New Roman"/>
          <w:sz w:val="28"/>
          <w:lang w:val="uk-UA"/>
        </w:rPr>
        <w:t xml:space="preserve">.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 w14:paraId="72608542"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 матеріалами Комісії підготовлено та подано 4 позовних заяв органу опіки та піклування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про позбавлення батьків батьківських прав відносно дітей та відібрання дітей у батьків, без по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збавлення батьківських прав 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районного суду Харківської області.</w:t>
      </w:r>
      <w:bookmarkStart w:id="3" w:name="_GoBack"/>
      <w:r/>
      <w:bookmarkEnd w:id="3"/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897"/>
        <w:pBdr/>
        <w:spacing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 w:eastAsia="en-US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97"/>
        <w:pBdr/>
        <w:spacing/>
        <w:ind w:right="14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97"/>
        <w:pBdr/>
        <w:spacing/>
        <w:ind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25F1EFB"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405C4145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Заступник голови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 комісії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462C81A8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з питань захисту прав дитини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47149082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виконавчого комітету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1154AE20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міської ради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        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  Наталія ШАПТАЛА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897"/>
        <w:pBdr/>
        <w:spacing/>
        <w:ind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2">
    <w:nsid w:val="556E3746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">
    <w:nsid w:val="556E3746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6">
    <w:name w:val="Heading 1"/>
    <w:basedOn w:val="897"/>
    <w:next w:val="897"/>
    <w:link w:val="84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7">
    <w:name w:val="Heading 2"/>
    <w:basedOn w:val="897"/>
    <w:next w:val="897"/>
    <w:link w:val="84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8">
    <w:name w:val="Heading 3"/>
    <w:basedOn w:val="897"/>
    <w:next w:val="897"/>
    <w:link w:val="84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9">
    <w:name w:val="Heading 4"/>
    <w:basedOn w:val="897"/>
    <w:next w:val="897"/>
    <w:link w:val="85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0">
    <w:name w:val="Heading 5"/>
    <w:basedOn w:val="897"/>
    <w:next w:val="897"/>
    <w:link w:val="85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1">
    <w:name w:val="Heading 6"/>
    <w:basedOn w:val="897"/>
    <w:next w:val="897"/>
    <w:link w:val="85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2">
    <w:name w:val="Heading 7"/>
    <w:basedOn w:val="897"/>
    <w:next w:val="897"/>
    <w:link w:val="85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3">
    <w:name w:val="Heading 8"/>
    <w:basedOn w:val="897"/>
    <w:next w:val="897"/>
    <w:link w:val="85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4">
    <w:name w:val="Heading 9"/>
    <w:basedOn w:val="897"/>
    <w:next w:val="897"/>
    <w:link w:val="85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5" w:default="1">
    <w:name w:val="Default Paragraph Font"/>
    <w:uiPriority w:val="1"/>
    <w:semiHidden/>
    <w:unhideWhenUsed/>
    <w:pPr>
      <w:pBdr/>
      <w:spacing/>
      <w:ind/>
    </w:pPr>
  </w:style>
  <w:style w:type="numbering" w:styleId="846" w:default="1">
    <w:name w:val="No List"/>
    <w:uiPriority w:val="99"/>
    <w:semiHidden/>
    <w:unhideWhenUsed/>
    <w:pPr>
      <w:pBdr/>
      <w:spacing/>
      <w:ind/>
    </w:pPr>
  </w:style>
  <w:style w:type="character" w:styleId="847">
    <w:name w:val="Heading 1 Char"/>
    <w:basedOn w:val="845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8">
    <w:name w:val="Heading 2 Char"/>
    <w:basedOn w:val="845"/>
    <w:link w:val="8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9">
    <w:name w:val="Heading 3 Char"/>
    <w:basedOn w:val="845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0">
    <w:name w:val="Heading 4 Char"/>
    <w:basedOn w:val="845"/>
    <w:link w:val="83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1">
    <w:name w:val="Heading 5 Char"/>
    <w:basedOn w:val="845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2">
    <w:name w:val="Heading 6 Char"/>
    <w:basedOn w:val="845"/>
    <w:link w:val="84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3">
    <w:name w:val="Heading 7 Char"/>
    <w:basedOn w:val="845"/>
    <w:link w:val="84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4">
    <w:name w:val="Heading 8 Char"/>
    <w:basedOn w:val="845"/>
    <w:link w:val="84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5">
    <w:name w:val="Heading 9 Char"/>
    <w:basedOn w:val="845"/>
    <w:link w:val="84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Title"/>
    <w:basedOn w:val="897"/>
    <w:next w:val="897"/>
    <w:link w:val="85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7">
    <w:name w:val="Title Char"/>
    <w:basedOn w:val="845"/>
    <w:link w:val="85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8">
    <w:name w:val="Subtitle"/>
    <w:basedOn w:val="897"/>
    <w:next w:val="897"/>
    <w:link w:val="85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9">
    <w:name w:val="Subtitle Char"/>
    <w:basedOn w:val="845"/>
    <w:link w:val="85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0">
    <w:name w:val="Quote"/>
    <w:basedOn w:val="897"/>
    <w:next w:val="897"/>
    <w:link w:val="86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1">
    <w:name w:val="Quote Char"/>
    <w:basedOn w:val="845"/>
    <w:link w:val="86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2">
    <w:name w:val="List Paragraph"/>
    <w:basedOn w:val="897"/>
    <w:uiPriority w:val="34"/>
    <w:qFormat/>
    <w:pPr>
      <w:pBdr/>
      <w:spacing/>
      <w:ind w:left="720"/>
      <w:contextualSpacing w:val="true"/>
    </w:pPr>
  </w:style>
  <w:style w:type="character" w:styleId="863">
    <w:name w:val="Intense Emphasis"/>
    <w:basedOn w:val="84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4">
    <w:name w:val="Intense Quote"/>
    <w:basedOn w:val="897"/>
    <w:next w:val="897"/>
    <w:link w:val="86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5">
    <w:name w:val="Intense Quote Char"/>
    <w:basedOn w:val="845"/>
    <w:link w:val="86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6">
    <w:name w:val="Intense Reference"/>
    <w:basedOn w:val="84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67">
    <w:name w:val="Subtle Emphasis"/>
    <w:basedOn w:val="84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8">
    <w:name w:val="Emphasis"/>
    <w:basedOn w:val="845"/>
    <w:uiPriority w:val="20"/>
    <w:qFormat/>
    <w:pPr>
      <w:pBdr/>
      <w:spacing/>
      <w:ind/>
    </w:pPr>
    <w:rPr>
      <w:i/>
      <w:iCs/>
    </w:rPr>
  </w:style>
  <w:style w:type="character" w:styleId="869">
    <w:name w:val="Strong"/>
    <w:basedOn w:val="845"/>
    <w:uiPriority w:val="22"/>
    <w:qFormat/>
    <w:pPr>
      <w:pBdr/>
      <w:spacing/>
      <w:ind/>
    </w:pPr>
    <w:rPr>
      <w:b/>
      <w:bCs/>
    </w:rPr>
  </w:style>
  <w:style w:type="character" w:styleId="870">
    <w:name w:val="Subtle Reference"/>
    <w:basedOn w:val="84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1">
    <w:name w:val="Book Title"/>
    <w:basedOn w:val="84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2">
    <w:name w:val="Header"/>
    <w:basedOn w:val="897"/>
    <w:link w:val="87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3">
    <w:name w:val="Header Char"/>
    <w:basedOn w:val="845"/>
    <w:link w:val="872"/>
    <w:uiPriority w:val="99"/>
    <w:pPr>
      <w:pBdr/>
      <w:spacing/>
      <w:ind/>
    </w:pPr>
  </w:style>
  <w:style w:type="paragraph" w:styleId="874">
    <w:name w:val="Footer"/>
    <w:basedOn w:val="897"/>
    <w:link w:val="87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5">
    <w:name w:val="Footer Char"/>
    <w:basedOn w:val="845"/>
    <w:link w:val="874"/>
    <w:uiPriority w:val="99"/>
    <w:pPr>
      <w:pBdr/>
      <w:spacing/>
      <w:ind/>
    </w:pPr>
  </w:style>
  <w:style w:type="paragraph" w:styleId="876">
    <w:name w:val="Caption"/>
    <w:basedOn w:val="897"/>
    <w:next w:val="89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7">
    <w:name w:val="footnote text"/>
    <w:basedOn w:val="897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Footnote Text Char"/>
    <w:basedOn w:val="845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footnote reference"/>
    <w:basedOn w:val="845"/>
    <w:uiPriority w:val="99"/>
    <w:semiHidden/>
    <w:unhideWhenUsed/>
    <w:pPr>
      <w:pBdr/>
      <w:spacing/>
      <w:ind/>
    </w:pPr>
    <w:rPr>
      <w:vertAlign w:val="superscript"/>
    </w:rPr>
  </w:style>
  <w:style w:type="paragraph" w:styleId="880">
    <w:name w:val="endnote text"/>
    <w:basedOn w:val="897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Endnote Text Char"/>
    <w:basedOn w:val="845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endnote reference"/>
    <w:basedOn w:val="845"/>
    <w:uiPriority w:val="99"/>
    <w:semiHidden/>
    <w:unhideWhenUsed/>
    <w:pPr>
      <w:pBdr/>
      <w:spacing/>
      <w:ind/>
    </w:pPr>
    <w:rPr>
      <w:vertAlign w:val="superscript"/>
    </w:rPr>
  </w:style>
  <w:style w:type="character" w:styleId="883">
    <w:name w:val="Hyperlink"/>
    <w:basedOn w:val="84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4">
    <w:name w:val="FollowedHyperlink"/>
    <w:basedOn w:val="84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5">
    <w:name w:val="toc 1"/>
    <w:basedOn w:val="897"/>
    <w:next w:val="897"/>
    <w:uiPriority w:val="39"/>
    <w:unhideWhenUsed/>
    <w:pPr>
      <w:pBdr/>
      <w:spacing w:after="100"/>
      <w:ind/>
    </w:pPr>
  </w:style>
  <w:style w:type="paragraph" w:styleId="886">
    <w:name w:val="toc 2"/>
    <w:basedOn w:val="897"/>
    <w:next w:val="897"/>
    <w:uiPriority w:val="39"/>
    <w:unhideWhenUsed/>
    <w:pPr>
      <w:pBdr/>
      <w:spacing w:after="100"/>
      <w:ind w:left="220"/>
    </w:pPr>
  </w:style>
  <w:style w:type="paragraph" w:styleId="887">
    <w:name w:val="toc 3"/>
    <w:basedOn w:val="897"/>
    <w:next w:val="897"/>
    <w:uiPriority w:val="39"/>
    <w:unhideWhenUsed/>
    <w:pPr>
      <w:pBdr/>
      <w:spacing w:after="100"/>
      <w:ind w:left="440"/>
    </w:pPr>
  </w:style>
  <w:style w:type="paragraph" w:styleId="888">
    <w:name w:val="toc 4"/>
    <w:basedOn w:val="897"/>
    <w:next w:val="897"/>
    <w:uiPriority w:val="39"/>
    <w:unhideWhenUsed/>
    <w:pPr>
      <w:pBdr/>
      <w:spacing w:after="100"/>
      <w:ind w:left="660"/>
    </w:pPr>
  </w:style>
  <w:style w:type="paragraph" w:styleId="889">
    <w:name w:val="toc 5"/>
    <w:basedOn w:val="897"/>
    <w:next w:val="897"/>
    <w:uiPriority w:val="39"/>
    <w:unhideWhenUsed/>
    <w:pPr>
      <w:pBdr/>
      <w:spacing w:after="100"/>
      <w:ind w:left="880"/>
    </w:pPr>
  </w:style>
  <w:style w:type="paragraph" w:styleId="890">
    <w:name w:val="toc 6"/>
    <w:basedOn w:val="897"/>
    <w:next w:val="897"/>
    <w:uiPriority w:val="39"/>
    <w:unhideWhenUsed/>
    <w:pPr>
      <w:pBdr/>
      <w:spacing w:after="100"/>
      <w:ind w:left="1100"/>
    </w:pPr>
  </w:style>
  <w:style w:type="paragraph" w:styleId="891">
    <w:name w:val="toc 7"/>
    <w:basedOn w:val="897"/>
    <w:next w:val="897"/>
    <w:uiPriority w:val="39"/>
    <w:unhideWhenUsed/>
    <w:pPr>
      <w:pBdr/>
      <w:spacing w:after="100"/>
      <w:ind w:left="1320"/>
    </w:pPr>
  </w:style>
  <w:style w:type="paragraph" w:styleId="892">
    <w:name w:val="toc 8"/>
    <w:basedOn w:val="897"/>
    <w:next w:val="897"/>
    <w:uiPriority w:val="39"/>
    <w:unhideWhenUsed/>
    <w:pPr>
      <w:pBdr/>
      <w:spacing w:after="100"/>
      <w:ind w:left="1540"/>
    </w:pPr>
  </w:style>
  <w:style w:type="paragraph" w:styleId="893">
    <w:name w:val="toc 9"/>
    <w:basedOn w:val="897"/>
    <w:next w:val="897"/>
    <w:uiPriority w:val="39"/>
    <w:unhideWhenUsed/>
    <w:pPr>
      <w:pBdr/>
      <w:spacing w:after="100"/>
      <w:ind w:left="1760"/>
    </w:pPr>
  </w:style>
  <w:style w:type="character" w:styleId="894">
    <w:name w:val="Placeholder Text"/>
    <w:basedOn w:val="845"/>
    <w:uiPriority w:val="99"/>
    <w:semiHidden/>
    <w:pPr>
      <w:pBdr/>
      <w:spacing/>
      <w:ind/>
    </w:pPr>
    <w:rPr>
      <w:color w:val="666666"/>
    </w:rPr>
  </w:style>
  <w:style w:type="paragraph" w:styleId="895">
    <w:name w:val="TOC Heading"/>
    <w:uiPriority w:val="39"/>
    <w:unhideWhenUsed/>
    <w:pPr>
      <w:pBdr/>
      <w:spacing/>
      <w:ind/>
    </w:pPr>
  </w:style>
  <w:style w:type="paragraph" w:styleId="896">
    <w:name w:val="table of figures"/>
    <w:basedOn w:val="897"/>
    <w:next w:val="897"/>
    <w:uiPriority w:val="99"/>
    <w:unhideWhenUsed/>
    <w:pPr>
      <w:pBdr/>
      <w:spacing w:after="0" w:afterAutospacing="0"/>
      <w:ind/>
    </w:pPr>
  </w:style>
  <w:style w:type="paragraph" w:styleId="897" w:default="1">
    <w:name w:val="Normal"/>
    <w:next w:val="897"/>
    <w:link w:val="897"/>
    <w:pPr>
      <w:pBdr/>
      <w:spacing/>
      <w:ind/>
    </w:pPr>
    <w:rPr>
      <w:lang w:val="ru-RU" w:eastAsia="ru-RU" w:bidi="ar-SA"/>
    </w:rPr>
  </w:style>
  <w:style w:type="paragraph" w:styleId="898">
    <w:name w:val="Заголовок 1"/>
    <w:basedOn w:val="897"/>
    <w:next w:val="897"/>
    <w:link w:val="897"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9">
    <w:name w:val="Заголовок 2"/>
    <w:basedOn w:val="897"/>
    <w:next w:val="897"/>
    <w:link w:val="897"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0">
    <w:name w:val="Заголовок 3"/>
    <w:basedOn w:val="897"/>
    <w:next w:val="897"/>
    <w:link w:val="897"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1">
    <w:name w:val="Заголовок 4"/>
    <w:basedOn w:val="897"/>
    <w:next w:val="897"/>
    <w:link w:val="897"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2">
    <w:name w:val="Основной шрифт абзаца"/>
    <w:next w:val="902"/>
    <w:link w:val="909"/>
    <w:semiHidden/>
    <w:pPr>
      <w:pBdr/>
      <w:spacing/>
      <w:ind/>
    </w:pPr>
  </w:style>
  <w:style w:type="table" w:styleId="903">
    <w:name w:val="Обычная таблица"/>
    <w:next w:val="903"/>
    <w:link w:val="897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4">
    <w:name w:val="Нет списка"/>
    <w:next w:val="904"/>
    <w:link w:val="897"/>
    <w:semiHidden/>
    <w:pPr>
      <w:pBdr/>
      <w:spacing/>
      <w:ind/>
    </w:pPr>
  </w:style>
  <w:style w:type="paragraph" w:styleId="905">
    <w:name w:val="Верхний колонтитул"/>
    <w:basedOn w:val="897"/>
    <w:next w:val="905"/>
    <w:link w:val="897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Нижний колонтитул"/>
    <w:basedOn w:val="897"/>
    <w:next w:val="906"/>
    <w:link w:val="897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7">
    <w:name w:val="Основной текст"/>
    <w:basedOn w:val="897"/>
    <w:next w:val="907"/>
    <w:link w:val="897"/>
    <w:pPr>
      <w:pBdr/>
      <w:spacing/>
      <w:ind w:right="-2"/>
      <w:jc w:val="both"/>
    </w:pPr>
    <w:rPr>
      <w:sz w:val="28"/>
      <w:lang w:val="uk-UA"/>
    </w:rPr>
  </w:style>
  <w:style w:type="paragraph" w:styleId="908">
    <w:name w:val="Основной текст 2"/>
    <w:basedOn w:val="897"/>
    <w:next w:val="908"/>
    <w:link w:val="897"/>
    <w:pPr>
      <w:pBdr/>
      <w:spacing/>
      <w:ind/>
    </w:pPr>
    <w:rPr>
      <w:sz w:val="28"/>
      <w:lang w:val="uk-UA"/>
    </w:rPr>
  </w:style>
  <w:style w:type="paragraph" w:styleId="909">
    <w:name w:val="Знак"/>
    <w:basedOn w:val="897"/>
    <w:next w:val="909"/>
    <w:link w:val="902"/>
    <w:pPr>
      <w:pBdr/>
      <w:spacing/>
      <w:ind/>
    </w:pPr>
    <w:rPr>
      <w:rFonts w:ascii="Verdana" w:hAnsi="Verdana" w:cs="Verdana"/>
      <w:lang w:val="en-US" w:eastAsia="en-US"/>
    </w:rPr>
  </w:style>
  <w:style w:type="paragraph" w:styleId="910">
    <w:name w:val="Текст выноски"/>
    <w:basedOn w:val="897"/>
    <w:next w:val="910"/>
    <w:link w:val="89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1">
    <w:name w:val="Основной текст с отступом"/>
    <w:basedOn w:val="897"/>
    <w:next w:val="911"/>
    <w:link w:val="897"/>
    <w:pPr>
      <w:pBdr/>
      <w:spacing w:after="120"/>
      <w:ind w:left="283"/>
    </w:pPr>
    <w:rPr>
      <w:sz w:val="24"/>
      <w:szCs w:val="24"/>
    </w:rPr>
  </w:style>
  <w:style w:type="paragraph" w:styleId="912">
    <w:name w:val="Обычный (веб)"/>
    <w:basedOn w:val="897"/>
    <w:next w:val="912"/>
    <w:link w:val="91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3">
    <w:name w:val="Normal (Web) Char"/>
    <w:next w:val="913"/>
    <w:link w:val="912"/>
    <w:pPr>
      <w:pBdr/>
      <w:spacing/>
      <w:ind/>
    </w:pPr>
    <w:rPr>
      <w:sz w:val="24"/>
      <w:szCs w:val="24"/>
      <w:lang w:val="ru-RU" w:eastAsia="ru-RU" w:bidi="ar-SA"/>
    </w:rPr>
  </w:style>
  <w:style w:type="paragraph" w:styleId="914">
    <w:name w:val="No Spacing"/>
    <w:next w:val="914"/>
    <w:link w:val="915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character" w:styleId="915">
    <w:name w:val="No Spacing Char"/>
    <w:next w:val="915"/>
    <w:link w:val="914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character" w:styleId="916">
    <w:name w:val="Обычный (Web) Знак"/>
    <w:next w:val="916"/>
    <w:link w:val="897"/>
    <w:pPr>
      <w:pBdr/>
      <w:spacing/>
      <w:ind/>
    </w:pPr>
    <w:rPr>
      <w:sz w:val="24"/>
      <w:szCs w:val="24"/>
      <w:lang w:val="ru-RU" w:eastAsia="ru-RU" w:bidi="ar-SA"/>
    </w:rPr>
  </w:style>
  <w:style w:type="character" w:styleId="917">
    <w:name w:val="docdata"/>
    <w:basedOn w:val="902"/>
    <w:next w:val="917"/>
    <w:link w:val="897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2025-01-07T07:57:00Z</dcterms:created>
  <dcterms:modified xsi:type="dcterms:W3CDTF">2026-01-15T09:11:35Z</dcterms:modified>
  <cp:version>730895</cp:version>
</cp:coreProperties>
</file>